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1520"/>
        <w:gridCol w:w="1540"/>
        <w:gridCol w:w="2460"/>
        <w:gridCol w:w="1700"/>
        <w:gridCol w:w="222"/>
      </w:tblGrid>
      <w:tr w:rsidRPr="003D7690" w:rsidR="003D7690" w:rsidTr="5AFA6A9E" w14:paraId="0120C4F8" w14:textId="77777777">
        <w:trPr>
          <w:gridAfter w:val="1"/>
          <w:wAfter w:w="222" w:type="dxa"/>
          <w:trHeight w:val="825"/>
        </w:trPr>
        <w:tc>
          <w:tcPr>
            <w:tcW w:w="192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4B8352D4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Date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080D5B12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Time</w:t>
            </w:r>
          </w:p>
        </w:tc>
        <w:tc>
          <w:tcPr>
            <w:tcW w:w="152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036B8308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Observer</w:t>
            </w:r>
          </w:p>
        </w:tc>
        <w:tc>
          <w:tcPr>
            <w:tcW w:w="154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4E8E73F1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Ability</w:t>
            </w:r>
          </w:p>
        </w:tc>
        <w:tc>
          <w:tcPr>
            <w:tcW w:w="2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4A02BA91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Subject</w:t>
            </w:r>
          </w:p>
        </w:tc>
        <w:tc>
          <w:tcPr>
            <w:tcW w:w="1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3D7690" w:rsidR="003D7690" w:rsidP="003D7690" w:rsidRDefault="003D7690" w14:paraId="65BC3A98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Year</w:t>
            </w:r>
          </w:p>
        </w:tc>
      </w:tr>
      <w:tr w:rsidRPr="003D7690" w:rsidR="003D7690" w:rsidTr="5AFA6A9E" w14:paraId="45505ED1" w14:textId="77777777">
        <w:trPr>
          <w:gridAfter w:val="1"/>
          <w:wAfter w:w="222" w:type="dxa"/>
          <w:trHeight w:val="458"/>
        </w:trPr>
        <w:tc>
          <w:tcPr>
            <w:tcW w:w="5940" w:type="dxa"/>
            <w:gridSpan w:val="4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hideMark/>
          </w:tcPr>
          <w:p w:rsidRPr="003D7690" w:rsidR="003D7690" w:rsidP="60902756" w:rsidRDefault="003D7690" w14:paraId="61311936" w14:textId="5215D05A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60902756">
              <w:rPr>
                <w:rFonts w:ascii="Calibri" w:hAnsi="Calibri" w:eastAsia="Times New Roman" w:cs="Calibri"/>
                <w:color w:val="000000" w:themeColor="text1"/>
                <w:sz w:val="22"/>
                <w:lang w:eastAsia="en-GB"/>
              </w:rPr>
              <w:t xml:space="preserve">Brief Overview of </w:t>
            </w:r>
            <w:r w:rsidRPr="60902756" w:rsidR="70B69078">
              <w:rPr>
                <w:rFonts w:ascii="Calibri" w:hAnsi="Calibri" w:eastAsia="Times New Roman" w:cs="Calibri"/>
                <w:color w:val="000000" w:themeColor="text1"/>
                <w:sz w:val="22"/>
                <w:lang w:eastAsia="en-GB"/>
              </w:rPr>
              <w:t>Encoding and Decoding</w:t>
            </w:r>
            <w:r w:rsidRPr="60902756">
              <w:rPr>
                <w:rFonts w:ascii="Calibri" w:hAnsi="Calibri" w:eastAsia="Times New Roman" w:cs="Calibri"/>
                <w:color w:val="000000" w:themeColor="text1"/>
                <w:sz w:val="22"/>
                <w:lang w:eastAsia="en-GB"/>
              </w:rPr>
              <w:t xml:space="preserve"> </w:t>
            </w:r>
            <w:r w:rsidRPr="60902756" w:rsidR="004F2E3D">
              <w:rPr>
                <w:rFonts w:ascii="Calibri" w:hAnsi="Calibri" w:eastAsia="Times New Roman" w:cs="Calibri"/>
                <w:color w:val="000000" w:themeColor="text1"/>
                <w:sz w:val="22"/>
                <w:lang w:eastAsia="en-GB"/>
              </w:rPr>
              <w:t>strategy</w:t>
            </w:r>
          </w:p>
        </w:tc>
        <w:tc>
          <w:tcPr>
            <w:tcW w:w="4160" w:type="dxa"/>
            <w:gridSpan w:val="2"/>
            <w:vMerge w:val="restar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3D7690" w:rsidR="003D7690" w:rsidP="003D7690" w:rsidRDefault="003D7690" w14:paraId="33A11286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Did the students make progress? Yes/No                          Why?</w:t>
            </w:r>
          </w:p>
        </w:tc>
      </w:tr>
      <w:tr w:rsidRPr="003D7690" w:rsidR="003D7690" w:rsidTr="5AFA6A9E" w14:paraId="0123A6CB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37526459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6EE07DCD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354708A6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</w:tr>
      <w:tr w:rsidRPr="003D7690" w:rsidR="003D7690" w:rsidTr="5AFA6A9E" w14:paraId="50748712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4FC26F18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712CD22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5F86C65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425E7137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216E9A9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 w:val="restar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3D7690" w:rsidR="003D7690" w:rsidP="003D7690" w:rsidRDefault="003D7690" w14:paraId="2B2DD05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Was the progress timely? Yes/No                          Why?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179ECE5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0DDB930F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3C2A18C2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360492C9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687FE75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</w:tr>
      <w:tr w:rsidRPr="003D7690" w:rsidR="003D7690" w:rsidTr="5AFA6A9E" w14:paraId="20E64004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3BA569B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53D62F7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5AE867E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0EAC37A0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3C32970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 w:val="restar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3D7690" w:rsidR="003D7690" w:rsidP="003D7690" w:rsidRDefault="003D7690" w14:paraId="7BD966A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Best part of this teaching moment was...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5E44C0F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0DDA3F6C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7FDEB1D0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1D587DB6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66DB806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</w:tr>
      <w:tr w:rsidRPr="003D7690" w:rsidR="003D7690" w:rsidTr="5AFA6A9E" w14:paraId="5D29E07C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08BFCEB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4169994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0B29C9A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70079E1B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2A95E691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53BB034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4879498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7534F090" w14:textId="77777777">
        <w:trPr>
          <w:trHeight w:val="345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6F49639F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3D7690" w:rsidR="003D7690" w:rsidP="003D7690" w:rsidRDefault="003D7690" w14:paraId="6D7FC7A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  <w:t>Opportunities for development could be...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5A1BBD2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7C8C71A0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0AFDAB44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40A0195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58F9A71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</w:tr>
      <w:tr w:rsidRPr="003D7690" w:rsidR="003D7690" w:rsidTr="5AFA6A9E" w14:paraId="1CECE576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32EFF78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3AF76E7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41560AE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59F82CAC" w14:textId="77777777">
        <w:trPr>
          <w:trHeight w:val="300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472B936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6DC34882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77C19ED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4299177D" w14:textId="77777777">
        <w:trPr>
          <w:trHeight w:val="145"/>
        </w:trPr>
        <w:tc>
          <w:tcPr>
            <w:tcW w:w="5940" w:type="dxa"/>
            <w:gridSpan w:val="4"/>
            <w:vMerge/>
            <w:tcMar/>
            <w:vAlign w:val="center"/>
            <w:hideMark/>
          </w:tcPr>
          <w:p w:rsidRPr="003D7690" w:rsidR="003D7690" w:rsidP="003D7690" w:rsidRDefault="003D7690" w14:paraId="20D698B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4160" w:type="dxa"/>
            <w:gridSpan w:val="2"/>
            <w:vMerge/>
            <w:tcMar/>
            <w:vAlign w:val="center"/>
            <w:hideMark/>
          </w:tcPr>
          <w:p w:rsidRPr="003D7690" w:rsidR="003D7690" w:rsidP="003D7690" w:rsidRDefault="003D7690" w14:paraId="63ADF408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3D7690" w:rsidR="003D7690" w:rsidP="003D7690" w:rsidRDefault="003D7690" w14:paraId="2377B64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0706B4F1" w14:textId="77777777">
        <w:trPr>
          <w:trHeight w:val="363"/>
        </w:trPr>
        <w:tc>
          <w:tcPr>
            <w:tcW w:w="10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tcMar/>
            <w:vAlign w:val="center"/>
            <w:hideMark/>
          </w:tcPr>
          <w:p w:rsidRPr="003D7690" w:rsidR="003D7690" w:rsidP="003D7690" w:rsidRDefault="003D7690" w14:paraId="0626F1C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lang w:eastAsia="en-GB"/>
              </w:rPr>
            </w:pPr>
            <w:r w:rsidRPr="003D7690">
              <w:rPr>
                <w:rFonts w:ascii="Calibri" w:hAnsi="Calibri" w:eastAsia="Times New Roman" w:cs="Calibri"/>
                <w:b/>
                <w:bCs/>
                <w:color w:val="000000"/>
                <w:sz w:val="22"/>
                <w:lang w:eastAsia="en-GB"/>
              </w:rPr>
              <w:t>PLEASE HIGHLIGHT ANY BOXES WHERE YOU HAVE SEEN EVIDENCE OF THE FOLLOWING</w:t>
            </w:r>
          </w:p>
        </w:tc>
        <w:tc>
          <w:tcPr>
            <w:tcW w:w="222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3D7690" w:rsidR="003D7690" w:rsidP="003D7690" w:rsidRDefault="003D7690" w14:paraId="1F15165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314CA46A" w14:textId="77777777">
        <w:trPr>
          <w:trHeight w:val="600"/>
        </w:trPr>
        <w:tc>
          <w:tcPr>
            <w:tcW w:w="10100" w:type="dxa"/>
            <w:gridSpan w:val="6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5AFA6A9E" w:rsidRDefault="003D7690" w14:paraId="57B381BC" w14:textId="6E52695B">
            <w:pPr>
              <w:spacing w:before="0" w:beforeAutospacing="off" w:after="0" w:afterAutospacing="off" w:line="300" w:lineRule="auto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</w:pP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 xml:space="preserve">Demonstrate secure subject and curriculum knowledge, 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>anticipating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 xml:space="preserve"> misconceptions and engaging in sustained professional development informed by evidence.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1C84E4D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36882CC3" w14:textId="77777777">
        <w:trPr>
          <w:trHeight w:val="660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5AFA6A9E" w:rsidRDefault="003D7690" w14:paraId="644C3DD6" w14:textId="72B1419E">
            <w:pPr>
              <w:spacing w:before="0" w:beforeAutospacing="off" w:after="0" w:afterAutospacing="off" w:line="300" w:lineRule="auto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</w:pP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>Understand how pupils learn, including memory, prior knowledge, and cognitive load, and apply strategies such as sequencing, scaffolding, and retrieval practice.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5BED37F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1DD72583" w14:textId="77777777">
        <w:trPr>
          <w:trHeight w:val="600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5AFA6A9E" w:rsidRDefault="003D7690" w14:paraId="2129F342" w14:textId="35A696AE">
            <w:pPr>
              <w:spacing w:before="0" w:beforeAutospacing="off" w:after="0" w:afterAutospacing="off" w:line="300" w:lineRule="auto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</w:pP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>Apply evidence-informed approaches to planning and resourcing, using modelling, scaffolds, and aligned curriculum materials to support pupil success.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6165EA3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1A23AC56" w14:textId="77777777">
        <w:trPr>
          <w:trHeight w:val="479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5AFA6A9E" w:rsidRDefault="003D7690" w14:paraId="61C6CAC9" w14:textId="0C9B2872">
            <w:pPr>
              <w:spacing w:before="0" w:beforeAutospacing="off" w:after="0" w:afterAutospacing="off" w:line="300" w:lineRule="auto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</w:pP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 xml:space="preserve">Establish and 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>maintain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>high expectations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 xml:space="preserve"> through intentional language, challenging tasks, and a positive classroom culture that promotes effort and perseverance.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225E63B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1D8E45DA" w14:textId="77777777">
        <w:trPr>
          <w:trHeight w:val="600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5AFA6A9E" w:rsidRDefault="003D7690" w14:paraId="65971EB4" w14:textId="2E1361FC">
            <w:pPr>
              <w:spacing w:before="0" w:beforeAutospacing="off" w:after="0" w:afterAutospacing="off" w:line="300" w:lineRule="auto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</w:pP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 xml:space="preserve">Adapt teaching responsively to meet all pupils’ needs, 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>maintaining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>high expectations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 xml:space="preserve"> and working collaboratively to support inclusion and SEND.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7181D9D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7B37A444" w14:textId="77777777">
        <w:trPr>
          <w:trHeight w:val="600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5AFA6A9E" w:rsidRDefault="003D7690" w14:paraId="761A79B5" w14:textId="149C8A34">
            <w:pPr>
              <w:spacing w:before="0" w:beforeAutospacing="off" w:after="0" w:afterAutospacing="off" w:line="300" w:lineRule="auto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</w:pP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 xml:space="preserve">Implement a range of assessment and feedback strategies that inform teaching, check for misconceptions, and 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>provide</w:t>
            </w: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 xml:space="preserve"> actionable guidance for pupils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70BC19D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3D7690" w:rsidTr="5AFA6A9E" w14:paraId="048FF678" w14:textId="77777777">
        <w:trPr>
          <w:trHeight w:val="600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3D7690" w:rsidR="003D7690" w:rsidP="5AFA6A9E" w:rsidRDefault="003D7690" w14:paraId="20A5C535" w14:textId="119B4501">
            <w:pPr>
              <w:spacing w:before="0" w:beforeAutospacing="off" w:after="0" w:afterAutospacing="off" w:line="300" w:lineRule="auto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</w:pPr>
            <w:r w:rsidRPr="5AFA6A9E" w:rsidR="701C98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en-GB"/>
              </w:rPr>
              <w:t>Develop disciplinary literacy and numeracy within the subject area, explicitly teaching reading, writing, oral language, and mathematical fluency as relevant.</w:t>
            </w:r>
          </w:p>
        </w:tc>
        <w:tc>
          <w:tcPr>
            <w:tcW w:w="222" w:type="dxa"/>
            <w:tcMar/>
            <w:vAlign w:val="center"/>
            <w:hideMark/>
          </w:tcPr>
          <w:p w:rsidRPr="003D7690" w:rsidR="003D7690" w:rsidP="003D7690" w:rsidRDefault="003D7690" w14:paraId="128B498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Pr="003D7690" w:rsidR="00A26F6F" w:rsidTr="5AFA6A9E" w14:paraId="00F1C350" w14:textId="77777777">
        <w:trPr>
          <w:trHeight w:val="1421"/>
        </w:trPr>
        <w:tc>
          <w:tcPr>
            <w:tcW w:w="1010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4E11C4" w:rsidR="00A26F6F" w:rsidP="003D7690" w:rsidRDefault="00A26F6F" w14:paraId="4A483FB1" w14:textId="0909EF82">
            <w:pPr>
              <w:rPr>
                <w:rFonts w:ascii="Calibri" w:hAnsi="Calibri" w:eastAsia="Times New Roman" w:cs="Calibri"/>
                <w:b w:val="1"/>
                <w:bCs w:val="1"/>
                <w:color w:val="000000"/>
                <w:sz w:val="20"/>
                <w:szCs w:val="20"/>
                <w:lang w:eastAsia="en-GB"/>
              </w:rPr>
            </w:pPr>
            <w:r w:rsidRPr="5AFA6A9E" w:rsidR="7BD4982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Any further </w:t>
            </w:r>
            <w:r w:rsidRPr="5AFA6A9E" w:rsidR="1CDBF6A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comments</w:t>
            </w:r>
            <w:r w:rsidRPr="5AFA6A9E" w:rsidR="7BD4982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relating to </w:t>
            </w:r>
            <w:r w:rsidRPr="5AFA6A9E" w:rsidR="522D7D0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encoding and decoding</w:t>
            </w:r>
            <w:r w:rsidRPr="5AFA6A9E" w:rsidR="7BD4982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practice.</w:t>
            </w:r>
          </w:p>
          <w:p w:rsidR="00A26F6F" w:rsidP="003D7690" w:rsidRDefault="00A26F6F" w14:paraId="78C5E5CD" w14:textId="77777777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  <w:p w:rsidR="00A26F6F" w:rsidP="003D7690" w:rsidRDefault="00A26F6F" w14:paraId="3F9C65AA" w14:textId="77777777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  <w:p w:rsidRPr="003D7690" w:rsidR="00A26F6F" w:rsidP="5AFA6A9E" w:rsidRDefault="00A26F6F" w14:paraId="79AA5242" w14:textId="5B79DED3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3D7690" w:rsidR="00A26F6F" w:rsidP="5AFA6A9E" w:rsidRDefault="00A26F6F" w14:paraId="3B44B77A" w14:textId="682BDCFA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3D7690" w:rsidR="00A26F6F" w:rsidP="5AFA6A9E" w:rsidRDefault="00A26F6F" w14:paraId="46257963" w14:textId="1F7F26EA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3D7690" w:rsidR="00A26F6F" w:rsidP="5AFA6A9E" w:rsidRDefault="00A26F6F" w14:paraId="428BCCFA" w14:textId="7D1DFA33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3D7690" w:rsidR="00A26F6F" w:rsidP="5AFA6A9E" w:rsidRDefault="00A26F6F" w14:paraId="61467AEF" w14:textId="1B633642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3D7690" w:rsidR="00A26F6F" w:rsidP="5AFA6A9E" w:rsidRDefault="00A26F6F" w14:paraId="0C3BFD8D" w14:textId="3A943C66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3D7690" w:rsidR="00A26F6F" w:rsidP="5AFA6A9E" w:rsidRDefault="00A26F6F" w14:paraId="5C14106C" w14:textId="0308156F">
            <w:pPr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Pr="003D7690" w:rsidR="00A26F6F" w:rsidP="5AFA6A9E" w:rsidRDefault="00A26F6F" w14:paraId="34176FB9" w14:textId="555BEB6D">
            <w:pPr>
              <w:pStyle w:val="Normal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shd w:val="clear" w:color="auto" w:fill="F2F2F2" w:themeFill="background1" w:themeFillShade="F2"/>
            <w:tcMar/>
            <w:vAlign w:val="center"/>
          </w:tcPr>
          <w:p w:rsidRPr="003D7690" w:rsidR="00A26F6F" w:rsidP="003D7690" w:rsidRDefault="00A26F6F" w14:paraId="0225D89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273088" w:rsidP="00A26F6F" w:rsidRDefault="00273088" w14:paraId="02315A9F" w14:textId="77777777"/>
    <w:sectPr w:rsidR="00273088" w:rsidSect="003D7690">
      <w:headerReference w:type="default" r:id="rId9"/>
      <w:footerReference w:type="default" r:id="rId10"/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E16" w:rsidP="003D7690" w:rsidRDefault="005F5E16" w14:paraId="7FF6BB25" w14:textId="77777777">
      <w:r>
        <w:separator/>
      </w:r>
    </w:p>
  </w:endnote>
  <w:endnote w:type="continuationSeparator" w:id="0">
    <w:p w:rsidR="005F5E16" w:rsidP="003D7690" w:rsidRDefault="005F5E16" w14:paraId="53ED84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E184E0A" w:rsidTr="2E184E0A" w14:paraId="00715BE0" w14:textId="77777777">
      <w:trPr>
        <w:trHeight w:val="300"/>
      </w:trPr>
      <w:tc>
        <w:tcPr>
          <w:tcW w:w="3485" w:type="dxa"/>
        </w:tcPr>
        <w:p w:rsidR="2E184E0A" w:rsidP="2E184E0A" w:rsidRDefault="2E184E0A" w14:paraId="7EAAE4AA" w14:textId="13A9B3DB">
          <w:pPr>
            <w:pStyle w:val="Header"/>
            <w:ind w:left="-115"/>
          </w:pPr>
        </w:p>
      </w:tc>
      <w:tc>
        <w:tcPr>
          <w:tcW w:w="3485" w:type="dxa"/>
        </w:tcPr>
        <w:p w:rsidR="2E184E0A" w:rsidP="2E184E0A" w:rsidRDefault="2E184E0A" w14:paraId="628824FC" w14:textId="21AB5198">
          <w:pPr>
            <w:pStyle w:val="Header"/>
            <w:jc w:val="center"/>
          </w:pPr>
        </w:p>
      </w:tc>
      <w:tc>
        <w:tcPr>
          <w:tcW w:w="3485" w:type="dxa"/>
        </w:tcPr>
        <w:p w:rsidR="2E184E0A" w:rsidP="2E184E0A" w:rsidRDefault="2E184E0A" w14:paraId="419EEF31" w14:textId="1CCD3D4A">
          <w:pPr>
            <w:pStyle w:val="Header"/>
            <w:ind w:right="-115"/>
            <w:jc w:val="right"/>
          </w:pPr>
        </w:p>
      </w:tc>
    </w:tr>
  </w:tbl>
  <w:p w:rsidR="2E184E0A" w:rsidP="2E184E0A" w:rsidRDefault="2E184E0A" w14:paraId="0A1B112D" w14:textId="418E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E16" w:rsidP="003D7690" w:rsidRDefault="005F5E16" w14:paraId="2D05E647" w14:textId="77777777">
      <w:r>
        <w:separator/>
      </w:r>
    </w:p>
  </w:footnote>
  <w:footnote w:type="continuationSeparator" w:id="0">
    <w:p w:rsidR="005F5E16" w:rsidP="003D7690" w:rsidRDefault="005F5E16" w14:paraId="398947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D7690" w:rsidR="003D7690" w:rsidP="5F3217FE" w:rsidRDefault="5F3217FE" w14:paraId="710A16BC" w14:textId="64AC0C93">
    <w:pPr>
      <w:pStyle w:val="Header"/>
      <w:rPr>
        <w:i/>
        <w:iCs/>
        <w:sz w:val="32"/>
        <w:szCs w:val="32"/>
      </w:rPr>
    </w:pPr>
    <w:r>
      <w:rPr>
        <w:noProof/>
      </w:rPr>
      <w:drawing>
        <wp:inline distT="0" distB="0" distL="0" distR="0" wp14:anchorId="7B3F2C9E" wp14:editId="47C0FBDE">
          <wp:extent cx="2067405" cy="807491"/>
          <wp:effectExtent l="0" t="0" r="0" b="0"/>
          <wp:docPr id="1442180048" name="Picture 144218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07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F3217FE">
      <w:rPr>
        <w:i/>
        <w:iCs/>
        <w:sz w:val="32"/>
        <w:szCs w:val="32"/>
      </w:rPr>
      <w:t>Intensive Training and Practice Feedback Sheet</w:t>
    </w:r>
  </w:p>
  <w:p w:rsidRPr="003D7690" w:rsidR="003D7690" w:rsidP="003D7690" w:rsidRDefault="0C63514F" w14:paraId="7BB4876C" w14:textId="487DE848">
    <w:pPr>
      <w:pStyle w:val="Header"/>
      <w:jc w:val="right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90"/>
    <w:rsid w:val="00273088"/>
    <w:rsid w:val="003D7690"/>
    <w:rsid w:val="004E11C4"/>
    <w:rsid w:val="004F2E3D"/>
    <w:rsid w:val="005F5E16"/>
    <w:rsid w:val="00896E40"/>
    <w:rsid w:val="00A26F6F"/>
    <w:rsid w:val="00CF6342"/>
    <w:rsid w:val="00E34DA8"/>
    <w:rsid w:val="01B7B454"/>
    <w:rsid w:val="057728E4"/>
    <w:rsid w:val="0C63514F"/>
    <w:rsid w:val="1CDBF6AD"/>
    <w:rsid w:val="2E184E0A"/>
    <w:rsid w:val="2F9D79C3"/>
    <w:rsid w:val="366F0A36"/>
    <w:rsid w:val="522D7D0D"/>
    <w:rsid w:val="5A3A32C2"/>
    <w:rsid w:val="5AFA6A9E"/>
    <w:rsid w:val="5F3217FE"/>
    <w:rsid w:val="60902756"/>
    <w:rsid w:val="6610C8F3"/>
    <w:rsid w:val="6F9BD0A2"/>
    <w:rsid w:val="701C9888"/>
    <w:rsid w:val="70B69078"/>
    <w:rsid w:val="75EC93C4"/>
    <w:rsid w:val="7BD49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2C63"/>
  <w15:chartTrackingRefBased/>
  <w15:docId w15:val="{73D93606-FBDA-4BE3-9EAE-C34BE46A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4DA8"/>
    <w:rPr>
      <w:rFonts w:ascii="Arial" w:hAnsi="Arial" w:eastAsiaTheme="majorEastAsia" w:cstheme="majorBidi"/>
      <w:color w:val="C45911" w:themeColor="accent2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4DA8"/>
    <w:rPr>
      <w:rFonts w:ascii="Arial" w:hAnsi="Arial" w:eastAsiaTheme="majorEastAsia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4DA8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11"/>
    <w:rsid w:val="00E34DA8"/>
    <w:rPr>
      <w:rFonts w:ascii="Arial" w:hAnsi="Arial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color="ED7D31" w:themeColor="accent2" w:sz="4" w:space="10"/>
        <w:bottom w:val="single" w:color="ED7D31" w:themeColor="accent2" w:sz="4" w:space="10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character" w:styleId="font291" w:customStyle="1">
    <w:name w:val="font291"/>
    <w:basedOn w:val="DefaultParagraphFont"/>
    <w:rsid w:val="003D7690"/>
    <w:rPr>
      <w:rFonts w:hint="default" w:ascii="Calibri" w:hAnsi="Calibri" w:cs="Calibri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ont301" w:customStyle="1">
    <w:name w:val="font301"/>
    <w:basedOn w:val="DefaultParagraphFont"/>
    <w:rsid w:val="003D7690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ont321" w:customStyle="1">
    <w:name w:val="font321"/>
    <w:basedOn w:val="DefaultParagraphFont"/>
    <w:rsid w:val="003D7690"/>
    <w:rPr>
      <w:rFonts w:hint="default" w:ascii="Calibri" w:hAnsi="Calibri" w:cs="Calibri"/>
      <w:b w:val="0"/>
      <w:bCs w:val="0"/>
      <w:i w:val="0"/>
      <w:iCs w:val="0"/>
      <w:strike w:val="0"/>
      <w:dstrike w:val="0"/>
      <w:color w:val="0070C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3D769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D769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D769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7690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51C1BC1A7944BEC2F3FD614A4C86" ma:contentTypeVersion="17" ma:contentTypeDescription="Create a new document." ma:contentTypeScope="" ma:versionID="dde88769a7782bf8ed18d8cd475798ba">
  <xsd:schema xmlns:xsd="http://www.w3.org/2001/XMLSchema" xmlns:xs="http://www.w3.org/2001/XMLSchema" xmlns:p="http://schemas.microsoft.com/office/2006/metadata/properties" xmlns:ns2="63925deb-ce5e-496c-8742-64c55d2602ed" xmlns:ns3="39b084f3-7ab0-4216-b0d8-a9f0bd332e27" targetNamespace="http://schemas.microsoft.com/office/2006/metadata/properties" ma:root="true" ma:fieldsID="f7438acf6bb3eb6c5f6afdee8b30052e" ns2:_="" ns3:_="">
    <xsd:import namespace="63925deb-ce5e-496c-8742-64c55d2602ed"/>
    <xsd:import namespace="39b084f3-7ab0-4216-b0d8-a9f0bd332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5deb-ce5e-496c-8742-64c55d260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084f3-7ab0-4216-b0d8-a9f0bd332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28002d-8f10-41b2-b6c7-b24abc7603dc}" ma:internalName="TaxCatchAll" ma:showField="CatchAllData" ma:web="39b084f3-7ab0-4216-b0d8-a9f0bd332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25deb-ce5e-496c-8742-64c55d2602ed">
      <Terms xmlns="http://schemas.microsoft.com/office/infopath/2007/PartnerControls"/>
    </lcf76f155ced4ddcb4097134ff3c332f>
    <TaxCatchAll xmlns="39b084f3-7ab0-4216-b0d8-a9f0bd332e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3CB31-1F71-4453-A80F-67B3665C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25deb-ce5e-496c-8742-64c55d2602ed"/>
    <ds:schemaRef ds:uri="39b084f3-7ab0-4216-b0d8-a9f0bd332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F0999-6966-421E-9AED-D73944422352}">
  <ds:schemaRefs>
    <ds:schemaRef ds:uri="http://schemas.microsoft.com/office/2006/metadata/properties"/>
    <ds:schemaRef ds:uri="http://schemas.microsoft.com/office/infopath/2007/PartnerControls"/>
    <ds:schemaRef ds:uri="63925deb-ce5e-496c-8742-64c55d2602ed"/>
    <ds:schemaRef ds:uri="39b084f3-7ab0-4216-b0d8-a9f0bd332e27"/>
  </ds:schemaRefs>
</ds:datastoreItem>
</file>

<file path=customXml/itemProps3.xml><?xml version="1.0" encoding="utf-8"?>
<ds:datastoreItem xmlns:ds="http://schemas.openxmlformats.org/officeDocument/2006/customXml" ds:itemID="{5C3A1BB7-EDD5-4357-9980-D19F22710E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Brown, Andrea</dc:creator>
  <keywords/>
  <dc:description/>
  <lastModifiedBy>Cockin, Vanessa</lastModifiedBy>
  <revision>10</revision>
  <dcterms:created xsi:type="dcterms:W3CDTF">2025-12-09T10:23:00.0000000Z</dcterms:created>
  <dcterms:modified xsi:type="dcterms:W3CDTF">2025-12-09T10:39:37.0491076Z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0x010100F76651C1BC1A7944BEC2F3FD614A4C86</vt:lpwstr>
  </property>
  <property fmtid="{D5CDD505-2E9C-101B-9397-08002B2CF9AE}" pid="3" name="MediaServiceImageTags">
    <vt:lpwstr/>
  </property>
</Properties>
</file>